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116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11160"/>
            <w:shd w:fill="1F3864" w:val="clear"/>
            <w:tcMar>
              <w:top w:type="dxa" w:w="240"/>
              <w:left w:type="dxa" w:w="260"/>
              <w:bottom w:type="dxa" w:w="240"/>
              <w:right w:type="dxa" w:w="260"/>
            </w:tcMar>
          </w:tcPr>
          <w:p>
            <w:r>
              <w:rPr>
                <w:rFonts w:ascii="Georgia" w:cs="Georgia" w:eastAsia="Georgia" w:hAnsi="Georgia"/>
                <w:b/>
                <w:bCs/>
                <w:i/>
                <w:iCs/>
                <w:color w:val="FFFFFF"/>
                <w:sz w:val="40"/>
                <w:szCs w:val="40"/>
              </w:rPr>
              <w:t xml:space="preserve">FDA Approves Nexium for Children Ages 1–11</w:t>
            </w:r>
          </w:p>
          <w:p>
            <w:r>
              <w:rPr>
                <w:rFonts w:ascii="Georgia" w:cs="Georgia" w:eastAsia="Georgia" w:hAnsi="Georgia"/>
                <w:b/>
                <w:bCs/>
                <w:i/>
                <w:iCs/>
                <w:color w:val="FFFFFF"/>
                <w:sz w:val="40"/>
                <w:szCs w:val="40"/>
              </w:rPr>
              <w:t xml:space="preserve">with Gastroesophageal Reflux Disease</w:t>
            </w:r>
          </w:p>
        </w:tc>
      </w:tr>
    </w:tbl>
    <w:p>
      <w:pPr>
        <w:spacing w:after="60" w:before="60"/>
      </w:pPr>
    </w:p>
    <w:tbl>
      <w:tblPr>
        <w:tblW w:type="dxa" w:w="1116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gridCol w:w="100"/>
        <w:gridCol w:w="100"/>
        <w:gridCol w:w="100"/>
      </w:tblGrid>
      <w:tr>
        <w:trPr>
          <w:trHeight w:val="90" w:hRule="exact"/>
        </w:trPr>
        <w:tc>
          <w:tcPr>
            <w:tcW w:type="dxa" w:w="1395"/>
            <w:tcBorders>
              <w:top w:val="none" w:color="FFFFFF" w:sz="0"/>
              <w:left w:val="none" w:color="FFFFFF" w:sz="0"/>
              <w:bottom w:val="none" w:color="FFFFFF" w:sz="0"/>
              <w:right w:val="none" w:color="FFFFFF" w:sz="0"/>
            </w:tcBorders>
            <w:shd w:fill="1F3864" w:val="clear"/>
          </w:tcPr>
          <w:p>
            <w:r>
              <w:rPr>
                <w:sz w:val="2"/>
                <w:szCs w:val="2"/>
              </w:rPr>
              <w:t xml:space="preserve"/>
            </w:r>
          </w:p>
        </w:tc>
        <w:tc>
          <w:tcPr>
            <w:tcW w:type="dxa" w:w="418"/>
            <w:tcBorders>
              <w:top w:val="none" w:color="FFFFFF" w:sz="0"/>
              <w:left w:val="none" w:color="FFFFFF" w:sz="0"/>
              <w:bottom w:val="none" w:color="FFFFFF" w:sz="0"/>
              <w:right w:val="none" w:color="FFFFFF" w:sz="0"/>
            </w:tcBorders>
            <w:shd w:fill="FFFFFF" w:val="clear"/>
          </w:tcPr>
          <w:p>
            <w:r>
              <w:rPr>
                <w:sz w:val="2"/>
                <w:szCs w:val="2"/>
              </w:rPr>
              <w:t xml:space="preserve"/>
            </w:r>
          </w:p>
        </w:tc>
        <w:tc>
          <w:tcPr>
            <w:tcW w:type="dxa" w:w="1395"/>
            <w:tcBorders>
              <w:top w:val="none" w:color="FFFFFF" w:sz="0"/>
              <w:left w:val="none" w:color="FFFFFF" w:sz="0"/>
              <w:bottom w:val="none" w:color="FFFFFF" w:sz="0"/>
              <w:right w:val="none" w:color="FFFFFF" w:sz="0"/>
            </w:tcBorders>
            <w:shd w:fill="4A90A4" w:val="clear"/>
          </w:tcPr>
          <w:p>
            <w:r>
              <w:rPr>
                <w:sz w:val="2"/>
                <w:szCs w:val="2"/>
              </w:rPr>
              <w:t xml:space="preserve"/>
            </w:r>
          </w:p>
        </w:tc>
        <w:tc>
          <w:tcPr>
            <w:tcW w:type="dxa" w:w="418"/>
            <w:tcBorders>
              <w:top w:val="none" w:color="FFFFFF" w:sz="0"/>
              <w:left w:val="none" w:color="FFFFFF" w:sz="0"/>
              <w:bottom w:val="none" w:color="FFFFFF" w:sz="0"/>
              <w:right w:val="none" w:color="FFFFFF" w:sz="0"/>
            </w:tcBorders>
            <w:shd w:fill="FFFFFF" w:val="clear"/>
          </w:tcPr>
          <w:p>
            <w:r>
              <w:rPr>
                <w:sz w:val="2"/>
                <w:szCs w:val="2"/>
              </w:rPr>
              <w:t xml:space="preserve"/>
            </w:r>
          </w:p>
        </w:tc>
        <w:tc>
          <w:tcPr>
            <w:tcW w:type="dxa" w:w="1395"/>
            <w:tcBorders>
              <w:top w:val="none" w:color="FFFFFF" w:sz="0"/>
              <w:left w:val="none" w:color="FFFFFF" w:sz="0"/>
              <w:bottom w:val="none" w:color="FFFFFF" w:sz="0"/>
              <w:right w:val="none" w:color="FFFFFF" w:sz="0"/>
            </w:tcBorders>
            <w:shd w:fill="8C8C8C" w:val="clear"/>
          </w:tcPr>
          <w:p>
            <w:r>
              <w:rPr>
                <w:sz w:val="2"/>
                <w:szCs w:val="2"/>
              </w:rPr>
              <w:t xml:space="preserve"/>
            </w:r>
          </w:p>
        </w:tc>
        <w:tc>
          <w:tcPr>
            <w:tcW w:type="dxa" w:w="3905"/>
            <w:tcBorders>
              <w:top w:val="none" w:color="FFFFFF" w:sz="0"/>
              <w:left w:val="none" w:color="FFFFFF" w:sz="0"/>
              <w:bottom w:val="none" w:color="FFFFFF" w:sz="0"/>
              <w:right w:val="none" w:color="FFFFFF" w:sz="0"/>
            </w:tcBorders>
            <w:shd w:fill="FFFFFF" w:val="clear"/>
          </w:tcPr>
          <w:p>
            <w:r>
              <w:rPr>
                <w:sz w:val="2"/>
                <w:szCs w:val="2"/>
              </w:rPr>
              <w:t xml:space="preserve"/>
            </w:r>
          </w:p>
        </w:tc>
      </w:tr>
    </w:tbl>
    <w:p>
      <w:pPr>
        <w:spacing w:after="40" w:before="40"/>
      </w:pPr>
    </w:p>
    <w:tbl>
      <w:tblPr>
        <w:tblW w:type="dxa" w:w="1116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tblGrid>
      <w:tr>
        <w:trPr>
          <w:trHeight w:val="30" w:hRule="exact"/>
        </w:trPr>
        <w:tc>
          <w:tcPr>
            <w:tcW w:type="dxa" w:w="3720"/>
            <w:tcBorders>
              <w:top w:val="none" w:color="FFFFFF" w:sz="0"/>
              <w:left w:val="none" w:color="FFFFFF" w:sz="0"/>
              <w:bottom w:val="none" w:color="FFFFFF" w:sz="0"/>
              <w:right w:val="none" w:color="FFFFFF" w:sz="0"/>
            </w:tcBorders>
            <w:shd w:fill="1F3864" w:val="clear"/>
          </w:tcPr>
          <w:p>
            <w:r>
              <w:rPr>
                <w:sz w:val="2"/>
                <w:szCs w:val="2"/>
              </w:rPr>
              <w:t xml:space="preserve"/>
            </w:r>
          </w:p>
        </w:tc>
        <w:tc>
          <w:tcPr>
            <w:tcW w:type="dxa" w:w="3720"/>
            <w:tcBorders>
              <w:top w:val="none" w:color="FFFFFF" w:sz="0"/>
              <w:left w:val="none" w:color="FFFFFF" w:sz="0"/>
              <w:bottom w:val="none" w:color="FFFFFF" w:sz="0"/>
              <w:right w:val="none" w:color="FFFFFF" w:sz="0"/>
            </w:tcBorders>
            <w:shd w:fill="4A90A4" w:val="clear"/>
          </w:tcPr>
          <w:p>
            <w:r>
              <w:rPr>
                <w:sz w:val="2"/>
                <w:szCs w:val="2"/>
              </w:rPr>
              <w:t xml:space="preserve"/>
            </w:r>
          </w:p>
        </w:tc>
        <w:tc>
          <w:tcPr>
            <w:tcW w:type="dxa" w:w="3720"/>
            <w:tcBorders>
              <w:top w:val="none" w:color="FFFFFF" w:sz="0"/>
              <w:left w:val="none" w:color="FFFFFF" w:sz="0"/>
              <w:bottom w:val="none" w:color="FFFFFF" w:sz="0"/>
              <w:right w:val="none" w:color="FFFFFF" w:sz="0"/>
            </w:tcBorders>
            <w:shd w:fill="C0783C" w:val="clear"/>
          </w:tcPr>
          <w:p>
            <w:r>
              <w:rPr>
                <w:sz w:val="2"/>
                <w:szCs w:val="2"/>
              </w:rPr>
              <w:t xml:space="preserve"/>
            </w:r>
          </w:p>
        </w:tc>
      </w:tr>
      <w:tr>
        <w:trPr>
          <w:trHeight w:val="40" w:hRule="exact"/>
        </w:trPr>
        <w:tc>
          <w:tcPr>
            <w:tcW w:type="dxa" w:w="11160"/>
            <w:tcBorders>
              <w:top w:val="none" w:color="FFFFFF" w:sz="0"/>
              <w:left w:val="none" w:color="FFFFFF" w:sz="0"/>
              <w:bottom w:val="none" w:color="FFFFFF" w:sz="0"/>
              <w:right w:val="none" w:color="FFFFFF" w:sz="0"/>
            </w:tcBorders>
            <w:shd w:fill="1F3864" w:val="clear"/>
          </w:tcPr>
          <w:p>
            <w:r>
              <w:rPr>
                <w:sz w:val="2"/>
                <w:szCs w:val="2"/>
              </w:rPr>
              <w:t xml:space="preserve"/>
            </w:r>
          </w:p>
        </w:tc>
      </w:tr>
    </w:tbl>
    <w:p>
      <w:pPr>
        <w:spacing w:after="60" w:before="160"/>
      </w:pPr>
    </w:p>
    <w:p>
      <w:pPr>
        <w:spacing w:after="160"/>
      </w:pPr>
      <w:r>
        <w:rPr>
          <w:b/>
          <w:bCs/>
          <w:sz w:val="20"/>
          <w:szCs w:val="20"/>
        </w:rPr>
        <w:t xml:space="preserve">A regulatory news summary of the FDA's approval of esomeprazole magnesium for short-term paediatric GERD treatment</w:t>
      </w:r>
    </w:p>
    <w:p>
      <w:pPr>
        <w:spacing w:after="120" w:before="260"/>
      </w:pPr>
      <w:r>
        <w:rPr>
          <w:b/>
          <w:bCs/>
          <w:color w:val="B35A1F"/>
          <w:sz w:val="30"/>
          <w:szCs w:val="30"/>
        </w:rPr>
        <w:t xml:space="preserve">Background</w:t>
      </w:r>
    </w:p>
    <w:p>
      <w:pPr>
        <w:spacing w:after="140" w:line="300"/>
        <w:jc w:val="both"/>
      </w:pPr>
      <w:r>
        <w:t xml:space="preserve">The US Food and Drug Administration has approved esomeprazole magnesium (Nexium) for short-term use in children ages 1–11 years for the treatment of gastroesophageal reflux disease (GERD). The proton pump inhibitor is now available in two paediatric-appropriate formulations — a delayed-release capsule and an oral liquid — expanding options for a population that previously had limited approved pharmacologic choices for this common condition.</w:t>
      </w:r>
    </w:p>
    <w:p>
      <w:pPr>
        <w:spacing w:after="140" w:line="300"/>
        <w:jc w:val="both"/>
      </w:pPr>
      <w:r>
        <w:t xml:space="preserve">“This approval provides important information for appropriate dosing for children ages 1–11 years with GERD,” said Julie Beitz, MD, director of the FDA's Office of Drug Evaluation III in the Center for Drug Evaluation and Research. “Children prescribed this drug should be monitored by their physicians for any adverse drug reactions.”</w:t>
      </w:r>
    </w:p>
    <w:p>
      <w:pPr>
        <w:spacing w:after="120" w:before="260"/>
      </w:pPr>
      <w:r>
        <w:rPr>
          <w:b/>
          <w:bCs/>
          <w:color w:val="B35A1F"/>
          <w:sz w:val="30"/>
          <w:szCs w:val="30"/>
        </w:rPr>
        <w:t xml:space="preserve">Approval Snapshot</w:t>
      </w:r>
    </w:p>
    <w:tbl>
      <w:tblPr>
        <w:tblW w:type="dxa" w:w="10700"/>
        <w:tblBorders>
          <w:top w:val="single" w:color="auto" w:sz="4"/>
          <w:left w:val="single" w:color="auto" w:sz="4"/>
          <w:bottom w:val="single" w:color="auto" w:sz="4"/>
          <w:right w:val="single" w:color="auto" w:sz="4"/>
          <w:insideH w:val="single" w:color="auto" w:sz="4"/>
          <w:insideV w:val="single" w:color="auto" w:sz="4"/>
        </w:tblBorders>
      </w:tblPr>
      <w:tblGrid>
        <w:gridCol w:w="1900"/>
        <w:gridCol w:w="3450"/>
        <w:gridCol w:w="1900"/>
        <w:gridCol w:w="3450"/>
      </w:tblGrid>
      <w:tr>
        <w:tc>
          <w:tcPr>
            <w:tcW w:type="dxa" w:w="1900"/>
            <w:shd w:fill="F2DFC8" w:val="clear"/>
            <w:tcMar>
              <w:top w:type="dxa" w:w="80"/>
              <w:left w:type="dxa" w:w="100"/>
              <w:bottom w:type="dxa" w:w="80"/>
              <w:right w:type="dxa" w:w="100"/>
            </w:tcMar>
            <w:vAlign w:val="center"/>
          </w:tcPr>
          <w:p>
            <w:r>
              <w:rPr>
                <w:b/>
                <w:bCs/>
                <w:sz w:val="20"/>
                <w:szCs w:val="20"/>
              </w:rPr>
              <w:t xml:space="preserve">Approving agency</w:t>
            </w:r>
          </w:p>
        </w:tc>
        <w:tc>
          <w:tcPr>
            <w:tcW w:type="dxa" w:w="3450"/>
            <w:tcMar>
              <w:top w:type="dxa" w:w="80"/>
              <w:left w:type="dxa" w:w="100"/>
              <w:bottom w:type="dxa" w:w="80"/>
              <w:right w:type="dxa" w:w="100"/>
            </w:tcMar>
            <w:vAlign w:val="center"/>
          </w:tcPr>
          <w:p>
            <w:r>
              <w:rPr>
                <w:sz w:val="20"/>
                <w:szCs w:val="20"/>
              </w:rPr>
              <w:t xml:space="preserve">US Food and Drug Administration (FDA)</w:t>
            </w:r>
          </w:p>
        </w:tc>
        <w:tc>
          <w:tcPr>
            <w:tcW w:type="dxa" w:w="1900"/>
            <w:shd w:fill="F2DFC8" w:val="clear"/>
            <w:tcMar>
              <w:top w:type="dxa" w:w="80"/>
              <w:left w:type="dxa" w:w="100"/>
              <w:bottom w:type="dxa" w:w="80"/>
              <w:right w:type="dxa" w:w="100"/>
            </w:tcMar>
            <w:vAlign w:val="center"/>
          </w:tcPr>
          <w:p>
            <w:r>
              <w:rPr>
                <w:b/>
                <w:bCs/>
                <w:sz w:val="20"/>
                <w:szCs w:val="20"/>
              </w:rPr>
              <w:t xml:space="preserve">Drug</w:t>
            </w:r>
          </w:p>
        </w:tc>
        <w:tc>
          <w:tcPr>
            <w:tcW w:type="dxa" w:w="3450"/>
            <w:tcMar>
              <w:top w:type="dxa" w:w="80"/>
              <w:left w:type="dxa" w:w="100"/>
              <w:bottom w:type="dxa" w:w="80"/>
              <w:right w:type="dxa" w:w="100"/>
            </w:tcMar>
            <w:vAlign w:val="center"/>
          </w:tcPr>
          <w:p>
            <w:r>
              <w:rPr>
                <w:sz w:val="20"/>
                <w:szCs w:val="20"/>
              </w:rPr>
              <w:t xml:space="preserve">Esomeprazole magnesium (Nexium)</w:t>
            </w:r>
          </w:p>
        </w:tc>
      </w:tr>
      <w:tr>
        <w:tc>
          <w:tcPr>
            <w:tcW w:type="dxa" w:w="1900"/>
            <w:shd w:fill="F2DFC8" w:val="clear"/>
            <w:tcMar>
              <w:top w:type="dxa" w:w="80"/>
              <w:left w:type="dxa" w:w="100"/>
              <w:bottom w:type="dxa" w:w="80"/>
              <w:right w:type="dxa" w:w="100"/>
            </w:tcMar>
            <w:vAlign w:val="center"/>
          </w:tcPr>
          <w:p>
            <w:r>
              <w:rPr>
                <w:b/>
                <w:bCs/>
                <w:sz w:val="20"/>
                <w:szCs w:val="20"/>
              </w:rPr>
              <w:t xml:space="preserve">New population</w:t>
            </w:r>
          </w:p>
        </w:tc>
        <w:tc>
          <w:tcPr>
            <w:tcW w:type="dxa" w:w="3450"/>
            <w:tcMar>
              <w:top w:type="dxa" w:w="80"/>
              <w:left w:type="dxa" w:w="100"/>
              <w:bottom w:type="dxa" w:w="80"/>
              <w:right w:type="dxa" w:w="100"/>
            </w:tcMar>
            <w:vAlign w:val="center"/>
          </w:tcPr>
          <w:p>
            <w:r>
              <w:rPr>
                <w:sz w:val="20"/>
                <w:szCs w:val="20"/>
              </w:rPr>
              <w:t xml:space="preserve">Children ages 1–11 years</w:t>
            </w:r>
          </w:p>
        </w:tc>
        <w:tc>
          <w:tcPr>
            <w:tcW w:type="dxa" w:w="1900"/>
            <w:shd w:fill="F2DFC8" w:val="clear"/>
            <w:tcMar>
              <w:top w:type="dxa" w:w="80"/>
              <w:left w:type="dxa" w:w="100"/>
              <w:bottom w:type="dxa" w:w="80"/>
              <w:right w:type="dxa" w:w="100"/>
            </w:tcMar>
            <w:vAlign w:val="center"/>
          </w:tcPr>
          <w:p>
            <w:r>
              <w:rPr>
                <w:b/>
                <w:bCs/>
                <w:sz w:val="20"/>
                <w:szCs w:val="20"/>
              </w:rPr>
              <w:t xml:space="preserve">Indication</w:t>
            </w:r>
          </w:p>
        </w:tc>
        <w:tc>
          <w:tcPr>
            <w:tcW w:type="dxa" w:w="3450"/>
            <w:tcMar>
              <w:top w:type="dxa" w:w="80"/>
              <w:left w:type="dxa" w:w="100"/>
              <w:bottom w:type="dxa" w:w="80"/>
              <w:right w:type="dxa" w:w="100"/>
            </w:tcMar>
            <w:vAlign w:val="center"/>
          </w:tcPr>
          <w:p>
            <w:r>
              <w:rPr>
                <w:sz w:val="20"/>
                <w:szCs w:val="20"/>
              </w:rPr>
              <w:t xml:space="preserve">Short-term treatment of GERD</w:t>
            </w:r>
          </w:p>
        </w:tc>
      </w:tr>
      <w:tr>
        <w:tc>
          <w:tcPr>
            <w:tcW w:type="dxa" w:w="1900"/>
            <w:shd w:fill="F2DFC8" w:val="clear"/>
            <w:tcMar>
              <w:top w:type="dxa" w:w="80"/>
              <w:left w:type="dxa" w:w="100"/>
              <w:bottom w:type="dxa" w:w="80"/>
              <w:right w:type="dxa" w:w="100"/>
            </w:tcMar>
            <w:vAlign w:val="center"/>
          </w:tcPr>
          <w:p>
            <w:r>
              <w:rPr>
                <w:b/>
                <w:bCs/>
                <w:sz w:val="20"/>
                <w:szCs w:val="20"/>
              </w:rPr>
              <w:t xml:space="preserve">Formulations</w:t>
            </w:r>
          </w:p>
        </w:tc>
        <w:tc>
          <w:tcPr>
            <w:tcW w:type="dxa" w:w="3450"/>
            <w:tcMar>
              <w:top w:type="dxa" w:w="80"/>
              <w:left w:type="dxa" w:w="100"/>
              <w:bottom w:type="dxa" w:w="80"/>
              <w:right w:type="dxa" w:w="100"/>
            </w:tcMar>
            <w:vAlign w:val="center"/>
          </w:tcPr>
          <w:p>
            <w:r>
              <w:rPr>
                <w:sz w:val="20"/>
                <w:szCs w:val="20"/>
              </w:rPr>
              <w:t xml:space="preserve">Delayed-release capsule; oral liquid</w:t>
            </w:r>
          </w:p>
        </w:tc>
        <w:tc>
          <w:tcPr>
            <w:tcW w:type="dxa" w:w="1900"/>
            <w:shd w:fill="F2DFC8" w:val="clear"/>
            <w:tcMar>
              <w:top w:type="dxa" w:w="80"/>
              <w:left w:type="dxa" w:w="100"/>
              <w:bottom w:type="dxa" w:w="80"/>
              <w:right w:type="dxa" w:w="100"/>
            </w:tcMar>
            <w:vAlign w:val="center"/>
          </w:tcPr>
          <w:p>
            <w:r>
              <w:rPr>
                <w:b/>
                <w:bCs/>
                <w:sz w:val="20"/>
                <w:szCs w:val="20"/>
              </w:rPr>
              <w:t xml:space="preserve">Basis for approval</w:t>
            </w:r>
          </w:p>
        </w:tc>
        <w:tc>
          <w:tcPr>
            <w:tcW w:type="dxa" w:w="3450"/>
            <w:tcMar>
              <w:top w:type="dxa" w:w="80"/>
              <w:left w:type="dxa" w:w="100"/>
              <w:bottom w:type="dxa" w:w="80"/>
              <w:right w:type="dxa" w:w="100"/>
            </w:tcMar>
            <w:vAlign w:val="center"/>
          </w:tcPr>
          <w:p>
            <w:r>
              <w:rPr>
                <w:sz w:val="20"/>
                <w:szCs w:val="20"/>
              </w:rPr>
              <w:t xml:space="preserve">Adult data extrapolation + pediatric safety/PK studies</w:t>
            </w:r>
          </w:p>
        </w:tc>
      </w:tr>
      <w:tr>
        <w:tc>
          <w:tcPr>
            <w:tcW w:type="dxa" w:w="1900"/>
            <w:shd w:fill="F2DFC8" w:val="clear"/>
            <w:tcMar>
              <w:top w:type="dxa" w:w="80"/>
              <w:left w:type="dxa" w:w="100"/>
              <w:bottom w:type="dxa" w:w="80"/>
              <w:right w:type="dxa" w:w="100"/>
            </w:tcMar>
            <w:vAlign w:val="center"/>
          </w:tcPr>
          <w:p>
            <w:r>
              <w:rPr>
                <w:b/>
                <w:bCs/>
                <w:sz w:val="20"/>
                <w:szCs w:val="20"/>
              </w:rPr>
              <w:t xml:space="preserve">Pivotal study</w:t>
            </w:r>
          </w:p>
        </w:tc>
        <w:tc>
          <w:tcPr>
            <w:tcW w:type="dxa" w:w="3450"/>
            <w:tcMar>
              <w:top w:type="dxa" w:w="80"/>
              <w:left w:type="dxa" w:w="100"/>
              <w:bottom w:type="dxa" w:w="80"/>
              <w:right w:type="dxa" w:w="100"/>
            </w:tcMar>
            <w:vAlign w:val="center"/>
          </w:tcPr>
          <w:p>
            <w:r>
              <w:rPr>
                <w:sz w:val="20"/>
                <w:szCs w:val="20"/>
              </w:rPr>
              <w:t xml:space="preserve">109 patients, ages 1–11, 8-week treatment</w:t>
            </w:r>
          </w:p>
        </w:tc>
        <w:tc>
          <w:tcPr>
            <w:tcW w:type="dxa" w:w="1900"/>
            <w:shd w:fill="F2DFC8" w:val="clear"/>
            <w:tcMar>
              <w:top w:type="dxa" w:w="80"/>
              <w:left w:type="dxa" w:w="100"/>
              <w:bottom w:type="dxa" w:w="80"/>
              <w:right w:type="dxa" w:w="100"/>
            </w:tcMar>
            <w:vAlign w:val="center"/>
          </w:tcPr>
          <w:p>
            <w:r>
              <w:rPr>
                <w:b/>
                <w:bCs/>
                <w:sz w:val="20"/>
                <w:szCs w:val="20"/>
              </w:rPr>
              <w:t xml:space="preserve">Treatment schedule</w:t>
            </w:r>
          </w:p>
        </w:tc>
        <w:tc>
          <w:tcPr>
            <w:tcW w:type="dxa" w:w="3450"/>
            <w:tcMar>
              <w:top w:type="dxa" w:w="80"/>
              <w:left w:type="dxa" w:w="100"/>
              <w:bottom w:type="dxa" w:w="80"/>
              <w:right w:type="dxa" w:w="100"/>
            </w:tcMar>
            <w:vAlign w:val="center"/>
          </w:tcPr>
          <w:p>
            <w:r>
              <w:rPr>
                <w:sz w:val="20"/>
                <w:szCs w:val="20"/>
              </w:rPr>
              <w:t xml:space="preserve">Once-daily dosing</w:t>
            </w:r>
          </w:p>
        </w:tc>
      </w:tr>
    </w:tbl>
    <w:p>
      <w:pPr>
        <w:spacing w:after="120" w:before="260"/>
      </w:pPr>
      <w:r>
        <w:rPr>
          <w:b/>
          <w:bCs/>
          <w:color w:val="B35A1F"/>
          <w:sz w:val="30"/>
          <w:szCs w:val="30"/>
        </w:rPr>
        <w:t xml:space="preserve">How the Approval Was Supported</w:t>
      </w:r>
    </w:p>
    <w:p>
      <w:pPr>
        <w:spacing w:after="140" w:line="300"/>
        <w:jc w:val="both"/>
      </w:pPr>
      <w:r>
        <w:t xml:space="preserve">The FDA based this approval on extrapolation of efficacy data from previous adult GERD studies to the paediatric population, combined with dedicated paediatric safety and pharmacokinetic studies. In the pivotal paediatric study, 109 patients ages 1–11 diagnosed with GERD received once-daily esomeprazole magnesium for up to 8 weeks to evaluate safety and tolerability. Most patients demonstrated healing of esophageal erosions after the 8-week treatment course.</w:t>
      </w:r>
    </w:p>
    <w:p>
      <w:pPr>
        <w:spacing w:after="120" w:before="260"/>
      </w:pPr>
      <w:r>
        <w:rPr>
          <w:b/>
          <w:bCs/>
          <w:color w:val="B35A1F"/>
          <w:sz w:val="30"/>
          <w:szCs w:val="30"/>
        </w:rPr>
        <w:t xml:space="preserve">Approved Dosing by Age Group</w:t>
      </w:r>
    </w:p>
    <w:tbl>
      <w:tblPr>
        <w:tblW w:type="dxa" w:w="11160"/>
        <w:tblBorders>
          <w:top w:val="single" w:color="auto" w:sz="4"/>
          <w:left w:val="single" w:color="auto" w:sz="4"/>
          <w:bottom w:val="single" w:color="auto" w:sz="4"/>
          <w:right w:val="single" w:color="auto" w:sz="4"/>
          <w:insideH w:val="single" w:color="auto" w:sz="4"/>
          <w:insideV w:val="single" w:color="auto" w:sz="4"/>
        </w:tblBorders>
      </w:tblPr>
      <w:tblGrid>
        <w:gridCol w:w="3800"/>
        <w:gridCol w:w="3800"/>
        <w:gridCol w:w="3560"/>
      </w:tblGrid>
      <w:tr>
        <w:tc>
          <w:tcPr>
            <w:tcW w:type="dxa" w:w="3800"/>
            <w:shd w:fill="F2DFC8" w:val="clear"/>
            <w:tcMar>
              <w:top w:type="dxa" w:w="60"/>
              <w:left w:type="dxa" w:w="90"/>
              <w:bottom w:type="dxa" w:w="60"/>
              <w:right w:type="dxa" w:w="90"/>
            </w:tcMar>
          </w:tcPr>
          <w:p>
            <w:r>
              <w:rPr>
                <w:b/>
                <w:bCs/>
                <w:sz w:val="19"/>
                <w:szCs w:val="19"/>
              </w:rPr>
              <w:t xml:space="preserve">Age group</w:t>
            </w:r>
          </w:p>
        </w:tc>
        <w:tc>
          <w:tcPr>
            <w:tcW w:type="dxa" w:w="3800"/>
            <w:shd w:fill="F2DFC8" w:val="clear"/>
            <w:tcMar>
              <w:top w:type="dxa" w:w="60"/>
              <w:left w:type="dxa" w:w="90"/>
              <w:bottom w:type="dxa" w:w="60"/>
              <w:right w:type="dxa" w:w="90"/>
            </w:tcMar>
          </w:tcPr>
          <w:p>
            <w:r>
              <w:rPr>
                <w:b/>
                <w:bCs/>
                <w:sz w:val="19"/>
                <w:szCs w:val="19"/>
              </w:rPr>
              <w:t xml:space="preserve">Approved daily dose</w:t>
            </w:r>
          </w:p>
        </w:tc>
        <w:tc>
          <w:tcPr>
            <w:tcW w:type="dxa" w:w="3560"/>
            <w:shd w:fill="F2DFC8" w:val="clear"/>
            <w:tcMar>
              <w:top w:type="dxa" w:w="60"/>
              <w:left w:type="dxa" w:w="90"/>
              <w:bottom w:type="dxa" w:w="60"/>
              <w:right w:type="dxa" w:w="90"/>
            </w:tcMar>
          </w:tcPr>
          <w:p>
            <w:r>
              <w:rPr>
                <w:b/>
                <w:bCs/>
                <w:sz w:val="19"/>
                <w:szCs w:val="19"/>
              </w:rPr>
              <w:t xml:space="preserve">Notes</w:t>
            </w:r>
          </w:p>
        </w:tc>
      </w:tr>
      <w:tr>
        <w:tc>
          <w:tcPr>
            <w:tcW w:type="dxa" w:w="3800"/>
            <w:shd w:fill="FBF3E9" w:val="clear"/>
            <w:tcMar>
              <w:top w:type="dxa" w:w="60"/>
              <w:left w:type="dxa" w:w="90"/>
              <w:bottom w:type="dxa" w:w="60"/>
              <w:right w:type="dxa" w:w="90"/>
            </w:tcMar>
          </w:tcPr>
          <w:p>
            <w:r>
              <w:rPr>
                <w:sz w:val="19"/>
                <w:szCs w:val="19"/>
              </w:rPr>
              <w:t xml:space="preserve">Children, 1–11 years</w:t>
            </w:r>
          </w:p>
        </w:tc>
        <w:tc>
          <w:tcPr>
            <w:tcW w:type="dxa" w:w="3800"/>
            <w:shd w:fill="FBF3E9" w:val="clear"/>
            <w:tcMar>
              <w:top w:type="dxa" w:w="60"/>
              <w:left w:type="dxa" w:w="90"/>
              <w:bottom w:type="dxa" w:w="60"/>
              <w:right w:type="dxa" w:w="90"/>
            </w:tcMar>
          </w:tcPr>
          <w:p>
            <w:r>
              <w:rPr>
                <w:sz w:val="19"/>
                <w:szCs w:val="19"/>
              </w:rPr>
              <w:t xml:space="preserve">10 mg or 20 mg once daily</w:t>
            </w:r>
          </w:p>
        </w:tc>
        <w:tc>
          <w:tcPr>
            <w:tcW w:type="dxa" w:w="3560"/>
            <w:shd w:fill="FBF3E9" w:val="clear"/>
            <w:tcMar>
              <w:top w:type="dxa" w:w="60"/>
              <w:left w:type="dxa" w:w="90"/>
              <w:bottom w:type="dxa" w:w="60"/>
              <w:right w:type="dxa" w:w="90"/>
            </w:tcMar>
          </w:tcPr>
          <w:p>
            <w:r>
              <w:rPr>
                <w:sz w:val="19"/>
                <w:szCs w:val="19"/>
              </w:rPr>
              <w:t xml:space="preserve">New approval in this age group</w:t>
            </w:r>
          </w:p>
        </w:tc>
      </w:tr>
      <w:tr>
        <w:tc>
          <w:tcPr>
            <w:tcW w:type="dxa" w:w="3800"/>
            <w:tcMar>
              <w:top w:type="dxa" w:w="60"/>
              <w:left w:type="dxa" w:w="90"/>
              <w:bottom w:type="dxa" w:w="60"/>
              <w:right w:type="dxa" w:w="90"/>
            </w:tcMar>
          </w:tcPr>
          <w:p>
            <w:r>
              <w:rPr>
                <w:sz w:val="19"/>
                <w:szCs w:val="19"/>
              </w:rPr>
              <w:t xml:space="preserve">Pediatric patients, 12–17 years</w:t>
            </w:r>
          </w:p>
        </w:tc>
        <w:tc>
          <w:tcPr>
            <w:tcW w:type="dxa" w:w="3800"/>
            <w:tcMar>
              <w:top w:type="dxa" w:w="60"/>
              <w:left w:type="dxa" w:w="90"/>
              <w:bottom w:type="dxa" w:w="60"/>
              <w:right w:type="dxa" w:w="90"/>
            </w:tcMar>
          </w:tcPr>
          <w:p>
            <w:r>
              <w:rPr>
                <w:sz w:val="19"/>
                <w:szCs w:val="19"/>
              </w:rPr>
              <w:t xml:space="preserve">20 mg or 40 mg once daily</w:t>
            </w:r>
          </w:p>
        </w:tc>
        <w:tc>
          <w:tcPr>
            <w:tcW w:type="dxa" w:w="3560"/>
            <w:tcMar>
              <w:top w:type="dxa" w:w="60"/>
              <w:left w:type="dxa" w:w="90"/>
              <w:bottom w:type="dxa" w:w="60"/>
              <w:right w:type="dxa" w:w="90"/>
            </w:tcMar>
          </w:tcPr>
          <w:p>
            <w:r>
              <w:rPr>
                <w:sz w:val="19"/>
                <w:szCs w:val="19"/>
              </w:rPr>
              <w:t xml:space="preserve">Previously approved dosing, shown for comparison</w:t>
            </w:r>
          </w:p>
        </w:tc>
      </w:tr>
      <w:tr>
        <w:tc>
          <w:tcPr>
            <w:tcW w:type="dxa" w:w="3800"/>
            <w:shd w:fill="FBF3E9" w:val="clear"/>
            <w:tcMar>
              <w:top w:type="dxa" w:w="60"/>
              <w:left w:type="dxa" w:w="90"/>
              <w:bottom w:type="dxa" w:w="60"/>
              <w:right w:type="dxa" w:w="90"/>
            </w:tcMar>
          </w:tcPr>
          <w:p>
            <w:r>
              <w:rPr>
                <w:sz w:val="19"/>
                <w:szCs w:val="19"/>
              </w:rPr>
              <w:t xml:space="preserve">Children under 1 year</w:t>
            </w:r>
          </w:p>
        </w:tc>
        <w:tc>
          <w:tcPr>
            <w:tcW w:type="dxa" w:w="3800"/>
            <w:shd w:fill="FBF3E9" w:val="clear"/>
            <w:tcMar>
              <w:top w:type="dxa" w:w="60"/>
              <w:left w:type="dxa" w:w="90"/>
              <w:bottom w:type="dxa" w:w="60"/>
              <w:right w:type="dxa" w:w="90"/>
            </w:tcMar>
          </w:tcPr>
          <w:p>
            <w:r>
              <w:rPr>
                <w:sz w:val="19"/>
                <w:szCs w:val="19"/>
              </w:rPr>
              <w:t xml:space="preserve">Not established</w:t>
            </w:r>
          </w:p>
        </w:tc>
        <w:tc>
          <w:tcPr>
            <w:tcW w:type="dxa" w:w="3560"/>
            <w:shd w:fill="FBF3E9" w:val="clear"/>
            <w:tcMar>
              <w:top w:type="dxa" w:w="60"/>
              <w:left w:type="dxa" w:w="90"/>
              <w:bottom w:type="dxa" w:w="60"/>
              <w:right w:type="dxa" w:w="90"/>
            </w:tcMar>
          </w:tcPr>
          <w:p>
            <w:r>
              <w:rPr>
                <w:sz w:val="19"/>
                <w:szCs w:val="19"/>
              </w:rPr>
              <w:t xml:space="preserve">Safety and efficacy not established; FDA warns against use</w:t>
            </w:r>
          </w:p>
        </w:tc>
      </w:tr>
    </w:tbl>
    <w:p>
      <w:pPr>
        <w:spacing w:before="120"/>
      </w:pPr>
    </w:p>
    <w:p>
      <w:pPr>
        <w:spacing w:after="100"/>
      </w:pPr>
      <w:r>
        <w:rPr>
          <w:i/>
          <w:iCs/>
          <w:color w:val="555555"/>
          <w:sz w:val="18"/>
          <w:szCs w:val="18"/>
        </w:rPr>
        <w:t xml:space="preserve">Dosing shown reflects the FDA's approved labeling at the time of this report; always confirm current prescribing information before use.</w:t>
      </w:r>
    </w:p>
    <w:p>
      <w:pPr>
        <w:spacing w:after="120" w:before="260"/>
      </w:pPr>
      <w:r>
        <w:rPr>
          <w:b/>
          <w:bCs/>
          <w:color w:val="B35A1F"/>
          <w:sz w:val="30"/>
          <w:szCs w:val="30"/>
        </w:rPr>
        <w:t xml:space="preserve">Safety Profile</w:t>
      </w:r>
    </w:p>
    <w:p>
      <w:pPr>
        <w:spacing w:after="140" w:line="300"/>
        <w:jc w:val="both"/>
      </w:pPr>
      <w:r>
        <w:t xml:space="preserve">The most common adverse reactions observed in children treated with esomeprazole magnesium were headache, diarrhea, abdominal pain, nausea, gas, constipation, dry mouth, and sleepiness. The FDA explicitly notes that safety and efficacy have not been established in children under 1 year of age, and warns against use in this younger population.</w:t>
      </w:r>
    </w:p>
    <w:p>
      <w:pPr>
        <w:spacing w:after="120" w:before="260"/>
      </w:pPr>
      <w:r>
        <w:rPr>
          <w:b/>
          <w:bCs/>
          <w:color w:val="B35A1F"/>
          <w:sz w:val="30"/>
          <w:szCs w:val="30"/>
        </w:rPr>
        <w:t xml:space="preserve">Why This Matters for Practice</w:t>
      </w:r>
    </w:p>
    <w:p>
      <w:pPr>
        <w:spacing w:after="140" w:line="300"/>
        <w:jc w:val="both"/>
      </w:pPr>
      <w:r>
        <w:t xml:space="preserve">For pharmacists and paediatric care teams, this approval formalizes dosing guidance (10 mg or 20 mg daily for ages 1–11, versus 20 mg or 40 mg for ages 12–17) that clarifies a previously extrapolated off-label practice. Because the approval relies partly on adult efficacy data extrapolated to children, ongoing monitoring for adverse drug reactions — as the FDA itself emphasizes — remains an important counseling point for caregivers, alongside clear guidance on the two available formulations (capsule vs. liquid) to support adherence in younger patients who may have difficulty swallowing capsules.</w:t>
      </w:r>
    </w:p>
    <w:p>
      <w:pPr>
        <w:spacing w:after="120" w:before="260"/>
      </w:pPr>
      <w:r>
        <w:rPr>
          <w:b/>
          <w:bCs/>
          <w:color w:val="B35A1F"/>
          <w:sz w:val="30"/>
          <w:szCs w:val="30"/>
        </w:rPr>
        <w:t xml:space="preserve">Takeaway</w:t>
      </w:r>
    </w:p>
    <w:p>
      <w:pPr>
        <w:spacing w:after="140" w:line="300"/>
        <w:jc w:val="both"/>
      </w:pPr>
      <w:r>
        <w:t xml:space="preserve">This approval gives clinicians and pharmacists a clearly defined, age-specific dosing framework for esomeprazole magnesium in children as young as 1 year with GERD, backed by an 8-week paediatric safety and healing study. The most common adverse effects are generally mild and consistent with the known PPI safety profile in adults, but the FDA's caution around monitoring and its explicit exclusion of children under 1 year underscore that this remains a population requiring careful clinical oversight.</w:t>
      </w:r>
    </w:p>
    <w:p>
      <w:pPr>
        <w:spacing w:after="120" w:before="260"/>
      </w:pPr>
      <w:r>
        <w:rPr>
          <w:b/>
          <w:bCs/>
          <w:color w:val="B35A1F"/>
          <w:sz w:val="30"/>
          <w:szCs w:val="30"/>
        </w:rPr>
        <w:t xml:space="preserve">Reference</w:t>
      </w:r>
    </w:p>
    <w:p>
      <w:pPr>
        <w:spacing w:after="160"/>
      </w:pPr>
      <w:r>
        <w:rPr>
          <w:sz w:val="19"/>
          <w:szCs w:val="19"/>
        </w:rPr>
        <w:t xml:space="preserve">FDA Approves Nexium for Use in Children Ages 1–11 Years. </w:t>
      </w:r>
      <w:r>
        <w:rPr>
          <w:b/>
          <w:bCs/>
          <w:sz w:val="19"/>
          <w:szCs w:val="19"/>
        </w:rPr>
        <w:t xml:space="preserve">Gastroenterology and Hepatology News.</w:t>
      </w:r>
      <w:r>
        <w:rPr>
          <w:sz w:val="19"/>
          <w:szCs w:val="19"/>
        </w:rPr>
        <w:t xml:space="preserve"> p. 1282.</w:t>
      </w:r>
    </w:p>
    <w:tbl>
      <w:tblPr>
        <w:tblW w:type="dxa" w:w="1116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11160"/>
            <w:shd w:fill="1F3864" w:val="clear"/>
            <w:tcMar>
              <w:top w:type="dxa" w:w="140"/>
              <w:left w:type="dxa" w:w="100"/>
              <w:bottom w:type="dxa" w:w="140"/>
              <w:right w:type="dxa" w:w="100"/>
            </w:tcMar>
          </w:tcPr>
          <w:p>
            <w:pPr>
              <w:jc w:val="center"/>
            </w:pPr>
            <w:r>
              <w:rPr>
                <w:rFonts w:ascii="Georgia" w:cs="Georgia" w:eastAsia="Georgia" w:hAnsi="Georgia"/>
                <w:b/>
                <w:bCs/>
                <w:i/>
                <w:iCs/>
                <w:color w:val="FFFFFF"/>
                <w:sz w:val="20"/>
                <w:szCs w:val="20"/>
              </w:rPr>
              <w:t xml:space="preserve">Nexium (Esomeprazole Magnesium) in Paediatric GERD — Regulatory Update Summary</w:t>
            </w:r>
          </w:p>
        </w:tc>
      </w:tr>
    </w:tbl>
    <w:sectPr>
      <w:pgSz w:w="12240" w:h="15840" w:orient="portrait"/>
      <w:pgMar w:top="500" w:right="540" w:bottom="500" w:left="5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2026-09-06T07:37:41.842Z</dcterms:created>
  <dcterms:modified xsi:type="dcterms:W3CDTF">2026-09-06T07:37:41.853Z</dcterms:modified>
</cp:coreProperties>
</file>

<file path=docProps/custom.xml><?xml version="1.0" encoding="utf-8"?>
<Properties xmlns="http://schemas.openxmlformats.org/officeDocument/2006/custom-properties" xmlns:vt="http://schemas.openxmlformats.org/officeDocument/2006/docPropsVTypes"/>
</file>